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 vom 13. Februar 2012</w:t>
      </w:r>
    </w:p>
    <w:p>
      <w:r>
        <w:t>Sg Versicherungsgericht, 2012-02-13, DE</w:t>
      </w:r>
    </w:p>
    <w:p>
      <w:r>
        <w:rPr>
          <w:b/>
        </w:rPr>
        <w:t xml:space="preserve">Quelle: </w:t>
      </w:r>
      <w:r>
        <w:t>https://mcp.opencaselaw.ch/entscheid/sg_publikationen_IV 2010_3</w:t>
      </w:r>
    </w:p>
    <w:p>
      <w:r>
        <w:t>FR: SG_VERSICHERUNGSGERICHT IV 2010/3 du 13 février 2012</w:t>
      </w:r>
    </w:p>
    <w:p>
      <w:r>
        <w:t>IT: SG_VERSICHERUNGSGERICHT IV 2010/3 del 13 febbraio 2012</w:t>
      </w:r>
    </w:p>
    <w:p>
      <w:pPr>
        <w:pStyle w:val="Heading2"/>
      </w:pPr>
      <w:r>
        <w:t>Regeste</w:t>
      </w:r>
    </w:p>
    <w:p>
      <w:r>
        <w:t>Art. 28 IVG. Rentenanspruch. Beweiswürdigung eines RAD-Berichts. Auf Grund abweichender medizinischer Beurteilungen Rückweisung zur externen neurologischen Begutachtung (Entscheid des Versicherungsgerichts des Kantons St. Gallen vom 13. Februar 2012, IV 2010/3).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datiert vom 24. November 2009, wobei ein Sachverhalt zu beurteilen ist,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2.1    Streitig und zu prüfen ist, ob die Beschwerdegegnerin den Anspruch des Beschwerdeführers auf eine Invalidenrente zu Recht abgelehnt hat.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2.4    Gemäss Art. 16 ATSG setzt der Einkommensvergleich zur Ermittlung der für den Rentenanspruch massgebenden Invalidität den Abschluss allfälliger Eingliederungsmassnahmen bzw. die Feststellung voraus, dass keine Eingliederung möglich ist. Diese Bedingung der Rentenzusprache wird als Grundsatz der "Eingliederung vor Rente" bezeichnet (vgl. Ueli Kieser, ATSG-Kommentar, 2. Aufl. Zürich 2009, Rz 22 zu Art. 16, Rz 15 zu Art. 7). Es handelt sich hierbei um eine Komponente der allgemeinen Schadenminderungspflicht (vgl. Ueli Kieser, a.a.O., Vorbemerkungen Rz 47). Nach diesem Grundsatz soll keine Invalidenrente ausgerichtet werden, bevor nicht alles Mögliche und Zumutbare versucht worden ist, um die behinderungsbedingte Erwerbseinbusse zu beseitigen oder zumindest zu reduzieren. Dies geschieht in der Regel mittels beruflicher Eingliederungsmassnahmen (vgl. unveröffentlichtes Urteil des Versicherungsgerichts des Kantons St. Gallen vom 12. Dezember 2006, IV 2005/127, E. 3a). 2.5    Ist eine versicherte Person während eines Jahres ohne wesentlichen Unterbruch zu durchschnittlich mindestens 40% arbeitsunfähig gewesen, entsteht ein Rentenanspruch (Art. 28 Abs. 1 lit. b IVG). Das Versicherungsgericht des Kantons St. Gallen geht in ständiger Praxis davon aus, dass ein (vorläufiger) Rentenanspruch auch für jene Fälle besteht, in denen die Eingliederung bei Ablauf des sogenannten Wartejahres noch nicht abgeschlossen ist bzw. in denen die Eingliederungsfähigkeit bei Ablauf des Wartejahres noch nicht definitiv verneint werden kann (vgl. auf dem Internet publizierte Urteile des Versicherungsgerichts des Kantons St. Gallen vom 22. Januar 2007, IV 2006/58, E. 1a mit Hinweisen auf die kantonale Rechtsprechung, vom 27. April 2011, IV 2010 186, E. 1.4). Auch die einen vorläufigen Rentenanspruch begründende Invalidität ist durch einen Einkommensvergleich zu ermitteln. Dieser Einkommensvergleich stützt sich aber - in Abweichung von Art. 16 ATSG - auf die Arbeitsfähigkeit im bisherigen Beruf (Art. 6 Satz 1 ATSG), es sei denn, der versicherten Person wäre zumutbar, durch die ohne jede Eingliederung mögliche Ausübung eines anderen Berufes den Eintritt einer rentenbegründenden vorläufigen Invalidität zu verhindern oder zumindest den Invaliditätsgrad zu reduzieren (Art. 6 Satz 2 ATSG). 2.6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deren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3</w:t>
      </w:r>
    </w:p>
    <w:p>
      <w:r>
        <w:t>3.1    Vorab ist zu prüfen, ob die medizinische Aktenlage eine rechtsgenügliche Beurteilung der Arbeitsfähigkeit des Beschwerdeführers erlaubt. Die Beschwerdegegnerin stützte sich für die Ermittlung des Invalideneinkommens auf den Untersuchungsbericht der RAD-Ärztin Dr. I.___ vom 12. Juni 2008. Dagegen bringt der Beschwerdeführer vor, dass dieser Bericht lediglich vom RAD stamme und sich dessen Beurteilung bezüglich der Höhe der Arbeitsfähigkeit beträchtlich von denjenigen der Klinik M.___, des KSSG sowie des Hausarztes unterscheide. 3.2    Gemäss Art. 59 Abs. 2 bis IVG stehen die regionalen ärztlichen Dienste den IV-Stellen zur Beurteilung der medizinischen Voraussetzungen des Leistungsanspruchs zur Verfügung. Sie setzen die für die Invalidenversicherung nach Art. 6 ATSG massgebende funktionelle Leistungsfähigkeit des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und sie halten die Untersuchungsergebnisse schriftlich fest (Abs. 2). Sinn und Zweck dieser im Rahmen der 5. IV-Revision (Bundesgesetz vom 6. Oktober 2006; AS 2007 5129 ff.) neu geschaffenen, seit 1. Januar 2008 in Kraft stehenden Bestimmungen liegen darin, dass die IV-Stellen zur Beurteilung der medizinischen Anspruchsvoraussetzungen auf eigene Ärzte und Ärztinnen zurückgreifen können. Diese sollen auf Grund ihrer speziellen versicherungsmedizinischen Kenntnisse für die Bestimmung der für die Invalidenversicherung massgebenden funktionellen Leistungsfähigkeit der versicherten Personen verantwortlich sein. Damit soll eine konsequente Trennung der Zuständigkeiten zwischen behandelnden Ärzten (Heilbehandlung) und Sozialversicherung (Bestimmung der Auswirkungen des Gesundheitsschadens) geschaffen werden. Der RAD bezeichnet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Personen ermöglicht werden. Gestützt auf die Angaben des RAD hat die IV-Stelle zu beurteilen, was einer versicherten Person aus objektiver Sicht noch zumutbar ist und was nicht. Das Bundesgericht hat bereits unter der bis 31. Dezember 2007 geltenden Rechtslage erkannt, dass Berichte regionaler ärztlicher Dienste materiell Gutachtensqualität haben können (Urteil des Bundesgerichts vom 14. Juli 2009, 9C_323/09, E. 4.2 und 4.3 mit Hinweisen). 3.3    Auf eine Stellungnahme des RAD kann allerdings nur abgestellt werden, wenn sie den allgemeinen beweisrechtlichen Anforderungen an einen ärztlichen Bericht genügt. Sie muss insbesondere in Kenntnis der Vorakten (Anamnese) abgegeben worden sein und in der Beschreibung der medizinischen Situation und Zusammenhänge einleuchten; die Schlussfolgerungen sind zu begründen ( BGE 125 V 351 E. 3a mit Hinweisen). Bestehen auch nur geringe Zweifel an der Zuverlässigkeit und Schlüssigkeit der versicherungsinternen ärztlichen Feststellungen, so sind jedoch ergänzende Abklärungen vorzunehmen (BGE 135 V 470 E. 4.4). 3.4    Vorliegend stützt sich der RAD-Bericht vom 12. Juni 2008 neben den Vorakten auf eine knapp dreistündige Untersuchung durch Dr. I.___ (act. G 4.3/200-6). Die Anamnese ist umfassend. Zudem scheint die Beurteilung in Kenntnis sämtlicher Vorakten ergangen zu sein, obgleich nicht alle Arztberichte namentlich aufgeführt wurden, wie dies die Beschwerdegegnerin am 28. Juli 2008 bestätigt hat (vgl. act. G 4.3/205). Dr. I.___ kam in ihrem Bericht zum Schluss, dass die geklagte Beeinträchtigung der Arbeitsfähigkeit durch die im Verlauf eines Arbeitstages zunehmende schmerzhafte spastische Tonuserhöhung der Beinmuskulatur nach längerer körperlicher Belastung aus neurologischer Sicht durchaus mit den aktuellen Untersuchungsbefunden und der Grunderkrankung der infantilen cerebralen Parese erklärt werden könne. Insofern benötige der Beschwerdeführer gesundheitsbedingt einen adaptierten Arbeitsplatz. Jedoch könne eine Leistungsbeeinträchtigung durch abnorme Ermüdbarkeit auf Grund der neurologischen Diagnose und Befunde nicht schlüssig erklärt werden. Im Rahmen der Untersuchung habe sich herausgestellt, dass der Beschwerdeführer auch ohne Arbeitstätigkeit eine Tagesstruktur mit wenig Freizeitaktivitäten und einer ca. 10-stündigen nächtlichen Ruhephase gewohnt sei. Auch werde deutlich, dass der Beschwerdeführer die zuletzt ausgeübte Montagetätigkeit als eher monoton empfunden habe und seine nachlassende Spannkraft bei dieser Arbeit als Müdigkeit/Erschöpfung erlebe. Als Tätigkeitsprofil gab Dr. I.___ körperlich leichte, vorwiegend sitzende Tätigkeiten mit der Möglichkeit von Positionswechseln und vermehrten Pausen bei verstärkter Spastik an. Sie sollten keine längeren Gehstrecken, kein Heben und Transportieren von sperrigen bzw. schwereren Lasten, d.h. von solchen von mehr als 10kg, keine Arbeiten auf Leitern und Gerüsten, keine hohen Anforderungen an feinmotorische Präzision (z.B. Uhrmacher, Optiker etc.) und keine besonders anspruchsvollen kognitiven Anforderungen insbesondere an die schriftsprachliche Ausdrucksfähigkeit beinhalten. Derart adaptiert betrage die Arbeitsfähigkeit 80% bei einer 100%igen Präsenzzeit mit 20%iger Leistungseinschränkung wegen erhöhtem Bedarf an Pausen und Positionswechseln (act. G 4.3/200-7). Damit bleibt zu prüfen, ob die von der RAD-Ärztin attestierte Arbeitsfähigkeit von 80% mit dem im Sozialversicherungsrecht üblichen Beweisgrad der überwiegenden Wahrscheinlichkeit erstellt ist und zu Recht Grundlage für die Ermittlung des Invaliditätsgrads gebildet hat.</w:t>
      </w:r>
    </w:p>
    <w:p>
      <w:r>
        <w:rPr>
          <w:b/>
        </w:rPr>
        <w:t>E. 4</w:t>
      </w:r>
    </w:p>
    <w:p>
      <w:r>
        <w:t>4.1    Hinsichtlich der geltend gemachten Ermüdbarkeit hatte Dr. F.___ entgegen der Beurteilung von Dr. I.___ bereits im Bericht vom 7. Mai 2007 festgehalten, dass sich diese durch die Spastizität erklären liesse, welche im Vergleich zum Status vom Januar 2005 tendenziell zuzunehmen scheine und ihrerseits zu zunehmenden Überlastungs-tendopathien führe (act. G 4.3/185-2). Dies lässt sich auch mit dem Bericht von Dr. E.___ vom 25. Januar 2005 vereinbaren, welche schon damals das Problem der muskulären Überlastung hervorhob, die eine Kombination von Spastizität und erhöhter Muskelarbeit im Lichte der Spastizität, aber auch der Weichteilverkürzungen zeige (act. G 4.3/198-2). Die Neurologen des KSSG, PD Dr. B.___ und Dr. K.___, stellten im Bericht vom 17. Juli 2008 belastungsabhängige Myalgien fest. Die bein- und linksbetonte Tetraspastik mit leichter distaler Parese der Beine mit paraspastischer Gangstörung und einer durch die Spastik bedingten Fingerfeinmotorikstörung mit beginnender Kontraktur im Sprunggelenk beidseits sei ätiologisch am ehesten auf eine infantile Cerebralparese bei Früh- und Mangelgeburt zurückzuführen. Im Laufe der Jahrzehnte sei es im Rahmen der Dekonditionierung und des Alterungsprozesses zu einer stärkeren Ermüdbarkeit gekommen. Zusätzlich bestehe auch eine Komponente von "central fatigue". Elektrodiagnostisch fänden sich objektivierbare Zeichen der Spastik. Elektromyographisch fänden sich diskrete chronisch-neurogene Veränderungen. Diese Befunde würden die Diagnose unterstützen. Gestützt darauf befanden die Neurologen den Beschwerdeführer auch in sitzender Tätigkeit wie beispielsweise bei der Arbeit in der Produktion von Kabelbäumen zu 50% arbeitsunfähig (act. G 4.3/2072f.). Diese Einschätzung bekräftigte Dr. K.___ mit Schreiben vom 30. Oktober 2008 nochmals, nun auch in Kenntnis von der abweichenden Beurteilung Dr. I.___s (act. G 4.3/212). 4.2    Auch Dr. E.___ schätzte die Arbeitsfähigkeit in adaptierter Tätigkeit im Bericht vom 17. April 2009 auf 50%. Im Vordergrund würden Schmerzen und eine erhöhte Ermüdbarkeit stehen. Die Schmerzen seien klar belastungsabhängig und im Rahmen der Spastik, des abnormen Bewegungs- und Belastungsmusters, skelettal leicht zu erklären. Die Ermüdbarkeit bestehe aus zwei Komponenten. Durch die Spastizität in den Extremitäten, die bestehenden Kontrakturen und das abnormale Bewegungs- und Belastungsmuster sei der Energieverbrauch für den Beschwerdeführer im Alltag erhöht und es bestehe eine wesentlich periphere Komponente der erhöhten Ermüdbarkeit. Zudem bestehe - wie anamnestisch ersichtlich sei - schon seit dem Schulalter mit Sicherheit eine erhöhte zentrale Ermüdbarkeit. Erhöhte Ermüdbarkeit sei eines der Kardinalsymptome vieler Schädigungen des Zentralnervensystems. Beim Beschwerdeführer bestehe eine zentrale kognitive Ermüdbarkeit, die wiederum seine Leistungsfähigkeit zeitlich limitiere. Ausserdem leide er mit einiger Wahrscheinlichkeit auch an Störungen der Exekutivfunktionen. Im Schlussbericht BEFAS von 2006 werde ihm bei "kopflastigen Aufgaben eine gewisse Umständlichkeit und Mühe mit flexiblen Wechseln zwischen verschiedenen Tätigkeiten attestiert" sowie eine "Tendenz zur Selbstüberschätzung". Schliesslich sei im Zusammenhang mit der Arbeitsfähigkeit des Beschwerdeführers bekannt, dass Personen mit einer Behinderung wie beispielsweise einer Cerebralparese einen frühzeitigen Alterungs- und Abnutzungsprozess aufwiesen, der ihre Leistungsfähigkeit verglichen mit einer nicht behinderten Bevölkerung signifikant früher einschränke (act. G 4.3/231). Der RAD-Arzt Dr. L.___ hielt bezüglich der Beurteilung von Dr. E.___ fest, dass der Bericht keine grundsätzlich neuen Befunde oder Diagnosen enthalte. Wiederum handle es sich lediglich um eine identische, im Vergleich zur RAD-Untersuchung vom 29. Mai 2008 unveränderte medizinische Sachlage. Daher sei an der Stellungnahme des RAD vom 17. Dezember 2008 festzuhalten (act. G 4.3/232). 4.3    Während Dr. I.___ somit keine somatische Erklärung für die geltend gemachte starke Ermüdbarkeit des Beschwerdeführers fand (vgl. act. G 4.3/200-7) bzw. diese einem seit jeher bestehenden Schlaf-Wach-Rhythmus mit einer zehnstündigen Ruhephase und einem motivational begründeten Aspekt (gemäss seinen Aussagen wolle der Beschwerdeführer "keine Dubeli-Arbeit" machen müssen) zuordnete (vgl. Stellungnahme von Dr. I.___ vom 18. März 2010, act. G 4.2; act. G 4.3/200-6), begründeten die behandelnden Ärzte Dr. E.___, PD Dr. B.___ und Dr. K.___ die Ermüdbarkeit nachvollziehbar aus körperlicher Sicht. Obgleich die allgemeine Aussage von Dr. E.___, dass bei Menschen mit Cerebralparese (CP) mit zunehmendem Alter eine erhöhte körperliche und zentrale Müdigkeit auftreten könne, noch nicht mit überwiegender Wahrscheinlichkeit auch eine solche beim Beschwerdeführer belegt, zeigt sie doch eine wahrscheinliche Tendenz dazu an. Insofern sprechen auch die von Dr. I.___ ins Feld geführten jüngeren Untersuchungsergebnisse aus Norwegen, welche eine mit zunehmendem Alter signifikant vermehrte körperliche, jedoch keine vermehrte mentale Ermüdbarkeit bei Personen mit CP auswiesen, ebenfalls für eine erhöhte Wahrscheinlichkeit einer zumindest in körperlicher Hinsicht bestehenden erheblichen Ermüdbarkeit. 4.4    In der Stellungnahme vom 18. März 2010 bemängelte Dr. I.___, die KSSG-Neurologen würden keine nähere Begründung für die Diagnose eines central fatigue liefern. Tatsächlich ist für den medizinischen Laien nicht genau nachvollziehbar, gestützt auf welche konkrete Untersuchung sich die Diagnose eines central fatigue zeigte. Dennoch führten die beiden Neurologen insgesamt auf, dass die neurologischen Unter­suchungen (elektrodiagnostisch und elektromyographisch) ihre Diagnosen abstützen würden, was Dr. I.___ nicht mit konkreten Einwänden entkräften konnte (vgl. Stellungnahme von Dr. I.___ vom 18. März 2010, act. G 4.2). 4.5    Mit Blick darauf, dass sowohl die Beurteilungen von Dr. E.___ als auch jene von Dr. B.___ und Dr. K.___ begründet und nachvollziehbar erscheinen und deren Einschätzungen hinsichtlich der Höhe der Arbeitsfähigkeit des Beschwerdeführers im Gegensatz zu derjenigen von Dr. I.___ von 80% einheitlich 50% betragen, ist die Beweiskraft der Beurteilung von Dr. I.___ in Frage gestellt. Folglich können die Zweifel an der Arbeitsfähigkeitsschätzung von Dr. I.___ auch nicht einfach - wie RAD-Arzt Dr. L.___ geltend machte - mit der Begründung, bei den anderen Beurteilungen handle es sich um eine "lediglich andere Einschätzung der im Wesentlichen gleichen medizinischen Sachlage" aus der Welt geschafft werden. Vielmehr wäre zu erwarten gewesen, dass die RAD-Ärzte ihre im Vergleich zu den behandelnden Neurologen abweichende Beurteilung einlässlich begründen bzw. in kritischer Abwägung diskutieren würden. 4.6    Insgesamt bestehen zwischen den verschiedenen neurologischen Beurteilungen unüberbrückbare Gegensätze, so dass es für das Gericht nicht mit überwiegender Wahrscheinlichkeit beurteilbar ist, welche Einschätzung der Invaliditätsbemessung zu Grunde zu legen ist (vgl. Urteile des Versicherungsgerichts des Kantons St. Gallen vom 16. Mai 2007, IV 2006/91, E. 2c, und vom 14. April 2010, IV 2009/69, E. 2.5). Es rechtfertigt sich daher, im Sinn des Antrags des Beschwerdeführers die Sache zur Vornahme einer neurologischen Begutachtung durch eine noch nicht mit dem Fall befasste Gutachtensstelle an die Beschwerdegegnerin zurückzuweisen. Dem Beschwerdeführer wurden in der angefochtenen Verfügung vom 24. November 2009 bereits berufliche Mas­nahmen in Aussicht gestellt, welche mittlerweile jedoch wieder abgebrochen werden mussten (vgl. IV-Mitteilung vom 23. Dezember 2010, act. G 14.1). In der Folge wird die Beschwerdegegnerin, sobald die Höhe der Arbeitsfähigkeit feststeht, erneut über den Rentenanspruch sowie über einen allfälligen Anspruch auf berufliche Massnahmen zu befinden haben.</w:t>
      </w:r>
    </w:p>
    <w:p>
      <w:r>
        <w:rPr>
          <w:b/>
        </w:rPr>
        <w:t>E. 5</w:t>
      </w:r>
    </w:p>
    <w:p>
      <w:r>
        <w:t>5.1    In teilweiser Gutheissung der Beschwerde ist die angefochtene Verfügung vom 24. November 2009 aufzuheben. Die Sache ist zur ergänzenden Abklärung und zu neuer Verfügung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entschieden: 1.       In teilweiser Gutheissung der Beschwerde wird die angefochtene Verfügung vom 24. November 2009 aufgehoben. Die Sache wird zur ergänzenden Abklärung und zu neuer Verfügung im Sinn der Erwägungen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